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36" w:rsidRPr="00901036" w:rsidRDefault="00901036" w:rsidP="0090103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СТРОИТЕЛЬСТВА И ЖИЛИЩНО-КОММУНАЛЬНОГО</w:t>
      </w:r>
    </w:p>
    <w:p w:rsidR="00901036" w:rsidRPr="00901036" w:rsidRDefault="00901036" w:rsidP="0090103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ХОЗЯЙСТВА РОССИЙСКОЙ ФЕДЕРАЦИИ</w:t>
      </w:r>
    </w:p>
    <w:p w:rsidR="00901036" w:rsidRPr="00901036" w:rsidRDefault="00901036" w:rsidP="0090103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01036" w:rsidRPr="00901036" w:rsidRDefault="00901036" w:rsidP="0090103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End w:id="0"/>
      <w:r w:rsidRPr="009010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901036" w:rsidRPr="00901036" w:rsidRDefault="00901036" w:rsidP="00901036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15 октября 2018 г. N 45994-ОГ/09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3"/>
      <w:bookmarkEnd w:id="1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обращения и в рамках компетенции сообщает.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сметной стоимости строительства, реконструкции, капитального ремонта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осуществляется на стадиях разработки проектной документации, проведения проверки достоверности определения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сметной стоимости и определения начальной (максимальной) цены контракта.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</w:t>
      </w:r>
      <w:r w:rsid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 1 статьи 8.3</w:t>
      </w:r>
      <w:r w:rsid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Градостроительного кодекса Российской Федерации (далее - </w:t>
      </w:r>
      <w:proofErr w:type="spell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ГрК</w:t>
      </w:r>
      <w:proofErr w:type="spell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РФ)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о которых включены в федеральный реестр сметных нормативов, а также прогнозных индексов изменения сметной стоимости строительства, сообщаемых ежеквартальными письмами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Минстроя России (далее - Индексы).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реестр сметных нормативов размещен на официальном сайте Минстроя России в информационно-телек</w:t>
      </w:r>
      <w:r w:rsid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оммуникационной сети "Интернет" 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www.minstroyrf.ru</w:t>
      </w:r>
      <w:r w:rsid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разделе "Деятельность/Градостроительная деятельность и архитектура/Ценообразование".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proofErr w:type="gramStart"/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Госстроя от 27 ноября 2012 г. N 2536-ИП/12/ГС, имеющее информационно-разъяснительный характер, размещенное в разделе "Справочная информация" федерального реестра сметных нормативов, признано не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подлежащим применению в соответствии с</w:t>
      </w:r>
      <w:r w:rsid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письмом</w:t>
      </w:r>
      <w:r w:rsidR="007335FA"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Минюста России от 27 апреля 2018 г. N 01-57049-ЮЛ с 27 апреля 2018 года, о чем указано в графе "Примечание".</w:t>
      </w:r>
      <w:proofErr w:type="gramEnd"/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9"/>
      <w:bookmarkEnd w:id="7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составлении сметной документации размер нормативов накладных расходов и сметной прибыли принимается в соответствии с Методическими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указаниями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определению величины накладных расходов в строительстве (МДС 81-33.2004), утвержденными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</w:t>
      </w:r>
      <w:r w:rsidR="007335FA"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Госстроя России от 12 января 2004 г. N 6, и Методическими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указаниями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определению величины сметной прибыли в строительстве (МДС 81-25.2001), утвержденными постановлением Госстроя России от 28 февраля 2001 г. N 15.</w:t>
      </w:r>
      <w:proofErr w:type="gramEnd"/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0"/>
      <w:bookmarkEnd w:id="8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частью 3 статьи 8.3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ГрК</w:t>
      </w:r>
      <w:proofErr w:type="spell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РФ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разработки, рассмотрения и введения в действие Индексов установлен Методическими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рекомендациями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разработке индексов изменения сметной стоимости строительства (далее - Методические рекомендации), утвержденными приказом Минстроя России от 9 февраля 2017 г. N 84/пр.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2"/>
      <w:bookmarkEnd w:id="10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1.3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Методических рекомендаций Индексы предназначены исключительно для определения стоимости строительства базисно-индексным методом на стадии разработки проектной документации в уровне цен, соответствующем периоду разработки сметной документации. Индексы сообщаются ежеквартально письмами Минстроя России, которые публикуются на официальном сайте Минстроя России в информационно-телекоммуникационной сети "Интернет" и включаются в федеральный реестр сметных нормативов.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3"/>
      <w:bookmarkEnd w:id="11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пункту 8.2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Методических рекомендаций разработка и публикация Индексов по статьям затрат не предусмотрена.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4"/>
      <w:bookmarkEnd w:id="12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письмом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Минстроя России от 10 октября 2018 г. N 41345-ЛС/09 (далее - Письмо) сообщены Индексы для Ярославской области на III квартал 2018 года. Согласно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пункту 2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Примечания к Приложению Письма Индексы применяются к базисной стоимости работ, учитывающей прямые затраты, накладные расходы и сметную прибыль.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5"/>
      <w:bookmarkEnd w:id="13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применения территориальных единичных расценок установлен Методическими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рекомендациями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 (далее - Методические рекомендации), утвержденными приказом Минстроя России от 9 февраля 2017 г. N 81/пр.</w:t>
      </w:r>
      <w:proofErr w:type="gramEnd"/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6"/>
      <w:bookmarkEnd w:id="14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 2 статьи 8.3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Градостроительного кодекса Российской Федерации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установленном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Положением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 проведении проверки достоверности определения сметной стоимости строительства, реконструкции, капитального ремонта объектов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 мая 2009 г. N 427 (далее - Положение).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7"/>
      <w:bookmarkEnd w:id="15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30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повторная проверка сметной стоимости производится в случае, если после получения положительного заключения в проектную документацию были внесены изменения.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8"/>
      <w:bookmarkEnd w:id="16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Начальная (максимальная) цена контракта определяется заказчиком строительства на основании положительного заключения государственной экспертизы проектной документации в соответствии со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статьей 22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Методических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рекомендаций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применению методов определения начальной (максимальной) цены контракта, утвержденных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приказом Минэкономразвития России от 2 октября 2013 г. N 567 (далее - Методика).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9"/>
      <w:bookmarkEnd w:id="17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6.1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Методики основанием для определения начальной (максимальной) цены контракта является смета (сметная стоимость работ), разработанная и утвержденная в соответствии с законодательством Российской Федерации.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0"/>
      <w:bookmarkEnd w:id="18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заключении государственного (муниципального)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1"/>
      <w:bookmarkEnd w:id="19"/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статьей 8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25 февраля 1999 г. N 39-ФЗ "Об инвестиционной деятельности в Российской Федерации, осуществляемой в форме капитальных вложений" и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статьей 1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Закона N 44-ФЗ отношения между субъектами инвестиционной деятельности осуществляются на основе договора или государственного (муниципального) контракта, заключаемого между ними в соответствии с Гражданским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кодексом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с учетом особенностей исполнения контракта, установленных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2"/>
      <w:bookmarkEnd w:id="20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</w:t>
      </w:r>
      <w:proofErr w:type="gramStart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proofErr w:type="gramEnd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соответствии с законодательством Российской Федерации заказчик строительства при подготовке документации о закупке самостоятельно формирует начальную (максимальную) цену контракта и определяет условия исполнения контракта, включая порядок оплаты выполненных работ.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3"/>
      <w:bookmarkEnd w:id="21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статьей 110.2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Закона N 44-ФЗ существенным условием государственного (муниципального) контракта на строительство (реконструкцию) объекта капитального строительства является поэтапная оплата выполненных подрядчиком работ исходя из объема таких работ и цены контракта. Объем выполненных по контракту работ определяется с учетом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статьи 743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Гражданского кодекса Российской Федерации. При этом оплата выполненных по контракту 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работ осуществляется в сроки и в размерах, которые устанавливаются графиком оплаты выполненных по контракту работ с учетом графика выполнения строительно-монтажных работ. Указанные графики являются неотъемлемой частью государственного (муниципального) контракта.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4"/>
      <w:bookmarkEnd w:id="22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 Департамент сообщает, что в соответствии с </w:t>
      </w:r>
      <w:r w:rsidRPr="007335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</w:t>
      </w:r>
      <w:r w:rsidRPr="00901036">
        <w:rPr>
          <w:rFonts w:ascii="Arial" w:eastAsia="Times New Roman" w:hAnsi="Arial" w:cs="Arial"/>
          <w:color w:val="666699"/>
          <w:sz w:val="24"/>
          <w:szCs w:val="24"/>
          <w:lang w:eastAsia="ru-RU"/>
        </w:rPr>
        <w:t xml:space="preserve"> 2</w:t>
      </w: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</w:t>
      </w:r>
      <w:bookmarkStart w:id="23" w:name="_GoBack"/>
      <w:bookmarkEnd w:id="23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13 августа 1997 г. N 1009, письма федеральных органов исполнительной власти не являются нормативными правовыми актами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901036" w:rsidRPr="00901036" w:rsidRDefault="00901036" w:rsidP="0090103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01036" w:rsidRPr="00901036" w:rsidRDefault="00901036" w:rsidP="0090103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</w:t>
      </w:r>
    </w:p>
    <w:p w:rsidR="00901036" w:rsidRPr="00901036" w:rsidRDefault="00901036" w:rsidP="0090103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Департамента ценообразования</w:t>
      </w:r>
    </w:p>
    <w:p w:rsidR="00901036" w:rsidRPr="00901036" w:rsidRDefault="00901036" w:rsidP="0090103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градостроительного зонирования</w:t>
      </w:r>
    </w:p>
    <w:p w:rsidR="00901036" w:rsidRPr="00901036" w:rsidRDefault="00901036" w:rsidP="0090103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010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И.В.ТЮТЬМИНА</w:t>
      </w:r>
    </w:p>
    <w:p w:rsidR="00A75A0B" w:rsidRDefault="00A75A0B"/>
    <w:sectPr w:rsidR="00A75A0B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036"/>
    <w:rsid w:val="000A1C98"/>
    <w:rsid w:val="000E380E"/>
    <w:rsid w:val="00413960"/>
    <w:rsid w:val="0043241E"/>
    <w:rsid w:val="00607796"/>
    <w:rsid w:val="0066571D"/>
    <w:rsid w:val="007335FA"/>
    <w:rsid w:val="007C61AA"/>
    <w:rsid w:val="008117AE"/>
    <w:rsid w:val="00901036"/>
    <w:rsid w:val="00A75A0B"/>
    <w:rsid w:val="00AF53B7"/>
    <w:rsid w:val="00F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01036"/>
  </w:style>
  <w:style w:type="character" w:customStyle="1" w:styleId="nobr">
    <w:name w:val="nobr"/>
    <w:basedOn w:val="a0"/>
    <w:rsid w:val="00901036"/>
  </w:style>
  <w:style w:type="character" w:styleId="a3">
    <w:name w:val="Hyperlink"/>
    <w:basedOn w:val="a0"/>
    <w:uiPriority w:val="99"/>
    <w:semiHidden/>
    <w:unhideWhenUsed/>
    <w:rsid w:val="009010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10592</CharactersWithSpaces>
  <SharedDoc>false</SharedDoc>
  <HLinks>
    <vt:vector size="156" baseType="variant">
      <vt:variant>
        <vt:i4>6619157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http://www.consultant.ru/document/cons_doc_LAW_310200/700cf785424b3ad484e2a07cde91e267a077e01f/</vt:lpwstr>
      </vt:variant>
      <vt:variant>
        <vt:lpwstr>dst100031</vt:lpwstr>
      </vt:variant>
      <vt:variant>
        <vt:i4>6553670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http://www.consultant.ru/document/cons_doc_LAW_294690/b48c040fb20b324efb339e89ad832027d4b5d97a/</vt:lpwstr>
      </vt:variant>
      <vt:variant>
        <vt:lpwstr>dst101185</vt:lpwstr>
      </vt:variant>
      <vt:variant>
        <vt:i4>131196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http://www.consultant.ru/document/cons_doc_LAW_310127/9405a8eb0cefbf4feb82794b7b6d76a2ae003c53/</vt:lpwstr>
      </vt:variant>
      <vt:variant>
        <vt:lpwstr>dst145</vt:lpwstr>
      </vt:variant>
      <vt:variant>
        <vt:i4>6946834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http://www.consultant.ru/document/cons_doc_LAW_294692/</vt:lpwstr>
      </vt:variant>
      <vt:variant>
        <vt:lpwstr>dst0</vt:lpwstr>
      </vt:variant>
      <vt:variant>
        <vt:i4>3473426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http://www.consultant.ru/document/cons_doc_LAW_310127/ea6152e9068c49297ce8e3244874b570d6bf08bc/</vt:lpwstr>
      </vt:variant>
      <vt:variant>
        <vt:lpwstr>dst100009</vt:lpwstr>
      </vt:variant>
      <vt:variant>
        <vt:i4>6750275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http://www.consultant.ru/document/cons_doc_LAW_221011/ca719a2adecb2fc67f66271ff4fe19b1cdb85c3d/</vt:lpwstr>
      </vt:variant>
      <vt:variant>
        <vt:lpwstr>dst100051</vt:lpwstr>
      </vt:variant>
      <vt:variant>
        <vt:i4>6619166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http://www.consultant.ru/document/cons_doc_LAW_153376/</vt:lpwstr>
      </vt:variant>
      <vt:variant>
        <vt:lpwstr>dst100145</vt:lpwstr>
      </vt:variant>
      <vt:variant>
        <vt:i4>6357023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http://www.consultant.ru/document/cons_doc_LAW_153376/</vt:lpwstr>
      </vt:variant>
      <vt:variant>
        <vt:lpwstr>dst100009</vt:lpwstr>
      </vt:variant>
      <vt:variant>
        <vt:i4>6881309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http://www.consultant.ru/document/cons_doc_LAW_310127/6b0dc64afcd7d45ae5a4b1107e6c59dfa3e71979/</vt:lpwstr>
      </vt:variant>
      <vt:variant>
        <vt:lpwstr>dst100218</vt:lpwstr>
      </vt:variant>
      <vt:variant>
        <vt:i4>196653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http://www.consultant.ru/document/cons_doc_LAW_309707/18e61d28474d0c07d3964061c7e52ca289db3a1f/</vt:lpwstr>
      </vt:variant>
      <vt:variant>
        <vt:lpwstr>dst113</vt:lpwstr>
      </vt:variant>
      <vt:variant>
        <vt:i4>6946886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http://www.consultant.ru/document/cons_doc_LAW_309707/6a0465e6a705b530173da5e40e871ecfd3c64bc6/</vt:lpwstr>
      </vt:variant>
      <vt:variant>
        <vt:lpwstr>dst67</vt:lpwstr>
      </vt:variant>
      <vt:variant>
        <vt:i4>65568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http://www.consultant.ru/document/cons_doc_LAW_304549/97b53e5e83b761f9df5902551a4114f85618df27/</vt:lpwstr>
      </vt:variant>
      <vt:variant>
        <vt:lpwstr>dst2007</vt:lpwstr>
      </vt:variant>
      <vt:variant>
        <vt:i4>7143442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http://www.consultant.ru/document/cons_doc_LAW_212884/</vt:lpwstr>
      </vt:variant>
      <vt:variant>
        <vt:lpwstr>dst100011</vt:lpwstr>
      </vt:variant>
      <vt:variant>
        <vt:i4>3997772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http://www.consultant.ru/document/cons_doc_LAW_308706/3e0f52a5be87c2dbb8d40e06826c1124d714797b/</vt:lpwstr>
      </vt:variant>
      <vt:variant>
        <vt:lpwstr>dst100675</vt:lpwstr>
      </vt:variant>
      <vt:variant>
        <vt:i4>7208990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http://www.consultant.ru/document/cons_doc_LAW_308706/</vt:lpwstr>
      </vt:variant>
      <vt:variant>
        <vt:lpwstr>dst0</vt:lpwstr>
      </vt:variant>
      <vt:variant>
        <vt:i4>7077911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http://www.consultant.ru/document/cons_doc_LAW_212883/</vt:lpwstr>
      </vt:variant>
      <vt:variant>
        <vt:lpwstr>dst100204</vt:lpwstr>
      </vt:variant>
      <vt:variant>
        <vt:i4>7143445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http://www.consultant.ru/document/cons_doc_LAW_212883/</vt:lpwstr>
      </vt:variant>
      <vt:variant>
        <vt:lpwstr>dst100015</vt:lpwstr>
      </vt:variant>
      <vt:variant>
        <vt:i4>7143445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http://www.consultant.ru/document/cons_doc_LAW_212883/</vt:lpwstr>
      </vt:variant>
      <vt:variant>
        <vt:lpwstr>dst100011</vt:lpwstr>
      </vt:variant>
      <vt:variant>
        <vt:i4>65568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http://www.consultant.ru/document/cons_doc_LAW_304549/97b53e5e83b761f9df5902551a4114f85618df27/</vt:lpwstr>
      </vt:variant>
      <vt:variant>
        <vt:lpwstr>dst2009</vt:lpwstr>
      </vt:variant>
      <vt:variant>
        <vt:i4>5046313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http://www.consultant.ru/document/cons_doc_LAW_31471/</vt:lpwstr>
      </vt:variant>
      <vt:variant>
        <vt:lpwstr>dst100008</vt:lpwstr>
      </vt:variant>
      <vt:variant>
        <vt:i4>4587559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http://www.consultant.ru/document/cons_doc_LAW_48109/</vt:lpwstr>
      </vt:variant>
      <vt:variant>
        <vt:lpwstr>dst0</vt:lpwstr>
      </vt:variant>
      <vt:variant>
        <vt:i4>6619155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http://www.consultant.ru/document/cons_doc_LAW_112934/</vt:lpwstr>
      </vt:variant>
      <vt:variant>
        <vt:lpwstr>dst0</vt:lpwstr>
      </vt:variant>
      <vt:variant>
        <vt:i4>6553631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http://www.consultant.ru/document/cons_doc_LAW_300121/</vt:lpwstr>
      </vt:variant>
      <vt:variant>
        <vt:lpwstr>dst0</vt:lpwstr>
      </vt:variant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http://www.consultant.ru/document/cons_doc_LAW_138406/</vt:lpwstr>
      </vt:variant>
      <vt:variant>
        <vt:lpwstr>dst0</vt:lpwstr>
      </vt:variant>
      <vt:variant>
        <vt:i4>1704021</vt:i4>
      </vt:variant>
      <vt:variant>
        <vt:i4>3</vt:i4>
      </vt:variant>
      <vt:variant>
        <vt:i4>0</vt:i4>
      </vt:variant>
      <vt:variant>
        <vt:i4>5</vt:i4>
      </vt:variant>
      <vt:variant>
        <vt:lpwstr>http://www.minstroyrf.ru/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http://www.consultant.ru/document/cons_doc_LAW_304549/97b53e5e83b761f9df5902551a4114f85618df27/</vt:lpwstr>
      </vt:variant>
      <vt:variant>
        <vt:lpwstr>dst2006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Сапегина</cp:lastModifiedBy>
  <cp:revision>4</cp:revision>
  <dcterms:created xsi:type="dcterms:W3CDTF">2019-06-12T19:17:00Z</dcterms:created>
  <dcterms:modified xsi:type="dcterms:W3CDTF">2019-06-13T10:07:00Z</dcterms:modified>
</cp:coreProperties>
</file>